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PERSON SPECIFICATION</w:t>
      </w:r>
    </w:p>
    <w:p>
      <w:pPr>
        <w:jc w:val="center"/>
      </w:pPr>
      <w:r>
        <w:rPr>
          <w:rFonts w:ascii="Arial" w:hAnsi="Arial"/>
          <w:b/>
          <w:color w:val="00A6E6"/>
          <w:sz w:val="26"/>
        </w:rPr>
        <w:t>CLASS TEACHER - YEAR 5 / UPPER KEY STAGE 2</w:t>
      </w:r>
    </w:p>
    <w:p>
      <w:pPr>
        <w:pStyle w:val="SmallText"/>
        <w:jc w:val="center"/>
      </w:pPr>
      <w:r>
        <w:t>Evidence key: A = application form   |   I = interview   |   O = observation/task   |   R = references/checks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64"/>
        <w:gridCol w:w="3564"/>
        <w:gridCol w:w="3564"/>
        <w:gridCol w:w="3564"/>
      </w:tblGrid>
      <w:tr>
        <w:trPr>
          <w:tblHeader w:val="true"/>
        </w:trPr>
        <w:tc>
          <w:tcPr>
            <w:tcW w:type="dxa" w:w="1944"/>
            <w:shd w:fill="1F2A78"/>
            <w:tcMar>
              <w:top w:w="100" w:type="dxa"/>
              <w:start w:w="110" w:type="dxa"/>
              <w:bottom w:w="100" w:type="dxa"/>
              <w:end w:w="11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Area</w:t>
            </w:r>
          </w:p>
        </w:tc>
        <w:tc>
          <w:tcPr>
            <w:tcW w:type="dxa" w:w="5976"/>
            <w:shd w:fill="1F2A78"/>
            <w:tcMar>
              <w:top w:w="100" w:type="dxa"/>
              <w:start w:w="110" w:type="dxa"/>
              <w:bottom w:w="100" w:type="dxa"/>
              <w:end w:w="11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Essential</w:t>
            </w:r>
          </w:p>
        </w:tc>
        <w:tc>
          <w:tcPr>
            <w:tcW w:type="dxa" w:w="3240"/>
            <w:shd w:fill="1F2A78"/>
            <w:tcMar>
              <w:top w:w="100" w:type="dxa"/>
              <w:start w:w="110" w:type="dxa"/>
              <w:bottom w:w="100" w:type="dxa"/>
              <w:end w:w="11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Desirable</w:t>
            </w:r>
          </w:p>
        </w:tc>
        <w:tc>
          <w:tcPr>
            <w:tcW w:type="dxa" w:w="1440"/>
            <w:shd w:fill="1F2A78"/>
            <w:tcMar>
              <w:top w:w="100" w:type="dxa"/>
              <w:start w:w="110" w:type="dxa"/>
              <w:bottom w:w="100" w:type="dxa"/>
              <w:end w:w="11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Evidence</w:t>
            </w:r>
          </w:p>
        </w:tc>
      </w:tr>
      <w:tr>
        <w:tc>
          <w:tcPr>
            <w:tcW w:type="dxa" w:w="1944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  <w:shd w:fill="DDEFFA"/>
          </w:tcPr>
          <w:p>
            <w:r>
              <w:rPr>
                <w:rFonts w:ascii="Arial" w:hAnsi="Arial"/>
                <w:b/>
                <w:color w:val="1F2A78"/>
                <w:sz w:val="18"/>
              </w:rPr>
              <w:t>Qualifications</w:t>
            </w:r>
          </w:p>
        </w:tc>
        <w:tc>
          <w:tcPr>
            <w:tcW w:type="dxa" w:w="5976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Qualified Teacher Status recognised in England.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Evidence of meeting the Teachers’ Standards.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Commitment to ongoing professional development.</w:t>
            </w:r>
          </w:p>
        </w:tc>
        <w:tc>
          <w:tcPr>
            <w:tcW w:type="dxa" w:w="3240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Relevant additional qualifications or recent professional development.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Catholic Certificate in Religious Studies (CCRS) or willingness to undertake equivalent formation.</w:t>
            </w:r>
          </w:p>
        </w:tc>
        <w:tc>
          <w:tcPr>
            <w:tcW w:type="dxa" w:w="1440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7"/>
              </w:rPr>
              <w:t>A/R</w:t>
            </w:r>
          </w:p>
        </w:tc>
      </w:tr>
      <w:tr>
        <w:tc>
          <w:tcPr>
            <w:tcW w:type="dxa" w:w="1944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  <w:shd w:fill="DDEFFA"/>
          </w:tcPr>
          <w:p>
            <w:r>
              <w:rPr>
                <w:rFonts w:ascii="Arial" w:hAnsi="Arial"/>
                <w:b/>
                <w:color w:val="1F2A78"/>
                <w:sz w:val="18"/>
              </w:rPr>
              <w:t>Catholic ethos and values</w:t>
            </w:r>
          </w:p>
        </w:tc>
        <w:tc>
          <w:tcPr>
            <w:tcW w:type="dxa" w:w="5976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Commitment to support and promote the Catholic life, mission and ethos of the school.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Ability to model dignity, compassion, fairness, integrity and respect in professional relationships.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Commitment to safeguarding, inclusion, equality and the flourishing of every child.</w:t>
            </w:r>
          </w:p>
        </w:tc>
        <w:tc>
          <w:tcPr>
            <w:tcW w:type="dxa" w:w="3240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Experience of working in a Catholic school or faith-based setting.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Experience of contributing to prayer, liturgy or the wider spiritual life of a school.</w:t>
            </w:r>
          </w:p>
        </w:tc>
        <w:tc>
          <w:tcPr>
            <w:tcW w:type="dxa" w:w="1440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7"/>
              </w:rPr>
              <w:t>A/I/R</w:t>
            </w:r>
          </w:p>
        </w:tc>
      </w:tr>
      <w:tr>
        <w:tc>
          <w:tcPr>
            <w:tcW w:type="dxa" w:w="1944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  <w:shd w:fill="DDEFFA"/>
          </w:tcPr>
          <w:p>
            <w:r>
              <w:rPr>
                <w:rFonts w:ascii="Arial" w:hAnsi="Arial"/>
                <w:b/>
                <w:color w:val="1F2A78"/>
                <w:sz w:val="18"/>
              </w:rPr>
              <w:t>Teaching experience</w:t>
            </w:r>
          </w:p>
        </w:tc>
        <w:tc>
          <w:tcPr>
            <w:tcW w:type="dxa" w:w="5976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Successful teaching experience in Key Stage 2, including assessed teaching practice where applicable.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Evidence of planning and delivering high-quality teaching that secures good progress.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Experience of establishing an orderly, positive and well-organised classroom.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Experience of adapting teaching for pupils with differing starting points and needs.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Experience of working effectively with teaching assistants or other support staff.</w:t>
            </w:r>
          </w:p>
        </w:tc>
        <w:tc>
          <w:tcPr>
            <w:tcW w:type="dxa" w:w="3240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Experience of teaching Year 5 or Upper Key Stage 2.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Experience of supporting transition and progression towards Year 6 and end-of-key-stage expectations.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Evidence of strong outcomes for disadvantaged pupils or pupils with SEND.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Experience of curriculum or subject leadership.</w:t>
            </w:r>
          </w:p>
        </w:tc>
        <w:tc>
          <w:tcPr>
            <w:tcW w:type="dxa" w:w="1440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7"/>
              </w:rPr>
              <w:t>A/I/O/R</w:t>
            </w:r>
          </w:p>
        </w:tc>
      </w:tr>
      <w:tr>
        <w:tc>
          <w:tcPr>
            <w:tcW w:type="dxa" w:w="1944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  <w:shd w:fill="DDEFFA"/>
          </w:tcPr>
          <w:p>
            <w:r>
              <w:rPr>
                <w:rFonts w:ascii="Arial" w:hAnsi="Arial"/>
                <w:b/>
                <w:color w:val="1F2A78"/>
                <w:sz w:val="18"/>
              </w:rPr>
              <w:t>Curriculum knowledge</w:t>
            </w:r>
          </w:p>
        </w:tc>
        <w:tc>
          <w:tcPr>
            <w:tcW w:type="dxa" w:w="5976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Secure, current knowledge of the National Curriculum for England and progression through Key Stage 2.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Strong subject knowledge in reading, writing and mathematics.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Understanding of how to build knowledge, vocabulary, fluency and independence over time.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Ability to identify and address misconceptions accurately.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Understanding of a broad, balanced and ambitious primary curriculum.</w:t>
            </w:r>
          </w:p>
        </w:tc>
        <w:tc>
          <w:tcPr>
            <w:tcW w:type="dxa" w:w="3240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Strong knowledge of Upper Key Stage 2 expectations and curriculum progression.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Experience of whole-class reading, writing moderation or mastery approaches in mathematics.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Particular expertise in a curriculum subject that would strengthen the school.</w:t>
            </w:r>
          </w:p>
        </w:tc>
        <w:tc>
          <w:tcPr>
            <w:tcW w:type="dxa" w:w="1440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7"/>
              </w:rPr>
              <w:t>A/I/O</w:t>
            </w:r>
          </w:p>
        </w:tc>
      </w:tr>
      <w:tr>
        <w:tc>
          <w:tcPr>
            <w:tcW w:type="dxa" w:w="1944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  <w:shd w:fill="DDEFFA"/>
          </w:tcPr>
          <w:p>
            <w:r>
              <w:rPr>
                <w:rFonts w:ascii="Arial" w:hAnsi="Arial"/>
                <w:b/>
                <w:color w:val="1F2A78"/>
                <w:sz w:val="18"/>
              </w:rPr>
              <w:t>Assessment and outcomes</w:t>
            </w:r>
          </w:p>
        </w:tc>
        <w:tc>
          <w:tcPr>
            <w:tcW w:type="dxa" w:w="5976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Ability to use formative and summative assessment accurately to inform teaching.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Ability to analyse pupil information, identify gaps and plan responsive teaching or support.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Ability to provide useful feedback and help pupils improve their work.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Ability to maintain accurate records and contribute to moderation and pupil-progress processes.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High expectations for the attainment, progress and wider development of all pupils.</w:t>
            </w:r>
          </w:p>
        </w:tc>
        <w:tc>
          <w:tcPr>
            <w:tcW w:type="dxa" w:w="3240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Experience of internal or external moderation.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Experience of using assessment information to improve outcomes for groups of pupils.</w:t>
            </w:r>
          </w:p>
        </w:tc>
        <w:tc>
          <w:tcPr>
            <w:tcW w:type="dxa" w:w="1440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7"/>
              </w:rPr>
              <w:t>A/I/O/R</w:t>
            </w:r>
          </w:p>
        </w:tc>
      </w:tr>
      <w:tr>
        <w:tc>
          <w:tcPr>
            <w:tcW w:type="dxa" w:w="1944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  <w:shd w:fill="DDEFFA"/>
          </w:tcPr>
          <w:p>
            <w:r>
              <w:rPr>
                <w:rFonts w:ascii="Arial" w:hAnsi="Arial"/>
                <w:b/>
                <w:color w:val="1F2A78"/>
                <w:sz w:val="18"/>
              </w:rPr>
              <w:t>Adaptive teaching and inclusion</w:t>
            </w:r>
          </w:p>
        </w:tc>
        <w:tc>
          <w:tcPr>
            <w:tcW w:type="dxa" w:w="5976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Secure understanding of adaptive teaching and inclusive classroom practice.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Knowledge of the SEND Code of Practice and the teacher’s responsibilities for pupils with SEND.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Ability to plan ambitious learning for disadvantaged pupils, pupils with SEND, pupils with EAL and higher-attaining pupils.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Ability to implement support plans, reasonable adjustments and targeted provision.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Commitment to promoting equality of opportunity and challenging discrimination.</w:t>
            </w:r>
          </w:p>
        </w:tc>
        <w:tc>
          <w:tcPr>
            <w:tcW w:type="dxa" w:w="3240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Experience of contributing to assess-plan-do-review cycles.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Experience of working with external agencies or specialist professionals.</w:t>
            </w:r>
          </w:p>
        </w:tc>
        <w:tc>
          <w:tcPr>
            <w:tcW w:type="dxa" w:w="1440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7"/>
              </w:rPr>
              <w:t>A/I/O/R</w:t>
            </w:r>
          </w:p>
        </w:tc>
      </w:tr>
      <w:tr>
        <w:tc>
          <w:tcPr>
            <w:tcW w:type="dxa" w:w="1944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  <w:shd w:fill="DDEFFA"/>
          </w:tcPr>
          <w:p>
            <w:r>
              <w:rPr>
                <w:rFonts w:ascii="Arial" w:hAnsi="Arial"/>
                <w:b/>
                <w:color w:val="1F2A78"/>
                <w:sz w:val="18"/>
              </w:rPr>
              <w:t>Behaviour, safeguarding and wellbeing</w:t>
            </w:r>
          </w:p>
        </w:tc>
        <w:tc>
          <w:tcPr>
            <w:tcW w:type="dxa" w:w="5976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Strong classroom-management skills and the ability to establish calm, consistent routines.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Knowledge of current safeguarding responsibilities and the confidence to act promptly on concerns.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Ability to build positive relationships while maintaining appropriate professional boundaries.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Commitment to promoting attendance, wellbeing and pupils’ spiritual, moral, social and cultural development.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Ability to apply school policies fairly, consistently and proportionately.</w:t>
            </w:r>
          </w:p>
        </w:tc>
        <w:tc>
          <w:tcPr>
            <w:tcW w:type="dxa" w:w="3240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Relevant safeguarding, first-aid, mental-health or pastoral training.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Experience of supporting pupils with social, emotional or behavioural needs.</w:t>
            </w:r>
          </w:p>
        </w:tc>
        <w:tc>
          <w:tcPr>
            <w:tcW w:type="dxa" w:w="1440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7"/>
              </w:rPr>
              <w:t>A/I/O/R</w:t>
            </w:r>
          </w:p>
        </w:tc>
      </w:tr>
      <w:tr>
        <w:tc>
          <w:tcPr>
            <w:tcW w:type="dxa" w:w="1944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  <w:shd w:fill="DDEFFA"/>
          </w:tcPr>
          <w:p>
            <w:r>
              <w:rPr>
                <w:rFonts w:ascii="Arial" w:hAnsi="Arial"/>
                <w:b/>
                <w:color w:val="1F2A78"/>
                <w:sz w:val="18"/>
              </w:rPr>
              <w:t>Relationships and teamwork</w:t>
            </w:r>
          </w:p>
        </w:tc>
        <w:tc>
          <w:tcPr>
            <w:tcW w:type="dxa" w:w="5976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Ability to work collaboratively and contribute positively to a professional team.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Ability to communicate clearly, sensitively and constructively with parents and carers.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Ability to deploy and support teaching assistants effectively.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Willingness to seek advice, share expertise and respond professionally to feedback.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Commitment to contributing to the wider life of the school.</w:t>
            </w:r>
          </w:p>
        </w:tc>
        <w:tc>
          <w:tcPr>
            <w:tcW w:type="dxa" w:w="3240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Experience of working with governors, parish, Trust colleagues or external partners.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Experience of leading clubs, visits, performances, liturgies or enrichment activities.</w:t>
            </w:r>
          </w:p>
        </w:tc>
        <w:tc>
          <w:tcPr>
            <w:tcW w:type="dxa" w:w="1440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7"/>
              </w:rPr>
              <w:t>A/I/R</w:t>
            </w:r>
          </w:p>
        </w:tc>
      </w:tr>
      <w:tr>
        <w:tc>
          <w:tcPr>
            <w:tcW w:type="dxa" w:w="1944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  <w:shd w:fill="DDEFFA"/>
          </w:tcPr>
          <w:p>
            <w:r>
              <w:rPr>
                <w:rFonts w:ascii="Arial" w:hAnsi="Arial"/>
                <w:b/>
                <w:color w:val="1F2A78"/>
                <w:sz w:val="18"/>
              </w:rPr>
              <w:t>Professional qualities</w:t>
            </w:r>
          </w:p>
        </w:tc>
        <w:tc>
          <w:tcPr>
            <w:tcW w:type="dxa" w:w="5976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Highly organised, reliable and able to manage competing priorities.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Reflective, resilient and committed to continuous improvement.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Positive, calm and solution-focused.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High standards of integrity, confidentiality, attendance and punctuality.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Able to exercise sound professional judgement and take responsibility for decisions.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Warmth, humour and a genuine commitment to children and their families.</w:t>
            </w:r>
          </w:p>
        </w:tc>
        <w:tc>
          <w:tcPr>
            <w:tcW w:type="dxa" w:w="3240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Potential and aspiration to contribute to future school leadership.</w:t>
            </w:r>
          </w:p>
        </w:tc>
        <w:tc>
          <w:tcPr>
            <w:tcW w:type="dxa" w:w="1440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7"/>
              </w:rPr>
              <w:t>A/I/O/R</w:t>
            </w:r>
          </w:p>
        </w:tc>
      </w:tr>
      <w:tr>
        <w:tc>
          <w:tcPr>
            <w:tcW w:type="dxa" w:w="1944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  <w:shd w:fill="DDEFFA"/>
          </w:tcPr>
          <w:p>
            <w:r>
              <w:rPr>
                <w:rFonts w:ascii="Arial" w:hAnsi="Arial"/>
                <w:b/>
                <w:color w:val="1F2A78"/>
                <w:sz w:val="18"/>
              </w:rPr>
              <w:t>Digital and administrative competence</w:t>
            </w:r>
          </w:p>
        </w:tc>
        <w:tc>
          <w:tcPr>
            <w:tcW w:type="dxa" w:w="5976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Confident use of digital systems to support teaching, assessment, communication and professional organisation.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Ability to maintain accurate records and handle confidential information securely.</w:t>
            </w:r>
          </w:p>
        </w:tc>
        <w:tc>
          <w:tcPr>
            <w:tcW w:type="dxa" w:w="3240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Experience of Arbor or similar management-information systems.</w:t>
            </w:r>
          </w:p>
          <w:p>
            <w:pPr>
              <w:pStyle w:val="BulletCompact"/>
              <w:spacing w:after="20"/>
              <w:ind w:left="245" w:hanging="144"/>
            </w:pPr>
            <w:r>
              <w:rPr>
                <w:sz w:val="17"/>
              </w:rPr>
              <w:t>Experience of using digital tools creatively to enhance learning.</w:t>
            </w:r>
          </w:p>
        </w:tc>
        <w:tc>
          <w:tcPr>
            <w:tcW w:type="dxa" w:w="1440"/>
            <w:tcMar>
              <w:top w:w="95" w:type="dxa"/>
              <w:start w:w="105" w:type="dxa"/>
              <w:bottom w:w="95" w:type="dxa"/>
              <w:end w:w="105" w:type="dxa"/>
            </w:tcMar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7"/>
              </w:rPr>
              <w:t>A/I/O</w:t>
            </w: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4256"/>
      </w:tblGrid>
      <w:tr>
        <w:tc>
          <w:tcPr>
            <w:tcW w:type="dxa" w:w="14256"/>
            <w:shd w:fill="DDEFFA"/>
            <w:tcMar>
              <w:top w:w="120" w:type="dxa"/>
              <w:start w:w="130" w:type="dxa"/>
              <w:bottom w:w="120" w:type="dxa"/>
              <w:end w:w="130" w:type="dxa"/>
            </w:tcMar>
          </w:tcPr>
          <w:p>
            <w:pPr>
              <w:jc w:val="left"/>
            </w:pPr>
            <w:r>
              <w:rPr>
                <w:rFonts w:ascii="Arial" w:hAnsi="Arial"/>
                <w:b/>
                <w:color w:val="1F2A78"/>
                <w:sz w:val="19"/>
              </w:rPr>
              <w:t>The person appointed must be able to fulfil the requirements of the post, with reasonable adjustments where required, and must satisfy all safer-recruitment and pre-employment checks.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5840" w:h="12240" w:orient="landscape"/>
      <w:pgMar w:top="792" w:right="792" w:bottom="792" w:left="7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8352"/>
      <w:gridCol w:w="1584"/>
    </w:tblGrid>
    <w:tr>
      <w:tc>
        <w:tcPr>
          <w:tcW w:type="dxa" w:w="5184"/>
          <w:tcMar>
            <w:top w:w="0" w:type="dxa"/>
            <w:start w:w="0" w:type="dxa"/>
            <w:bottom w:w="0" w:type="dxa"/>
            <w:end w:w="0" w:type="dxa"/>
          </w:tcMar>
          <w:vAlign w:val="center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91840" cy="1076732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91840" cy="1076732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5184"/>
          <w:tcMar>
            <w:top w:w="0" w:type="dxa"/>
            <w:start w:w="0" w:type="dxa"/>
            <w:bottom w:w="0" w:type="dxa"/>
            <w:end w:w="0" w:type="dxa"/>
          </w:tcMar>
          <w:vAlign w:val="center"/>
        </w:tcPr>
        <w:p>
          <w:pPr>
            <w:jc w:val="right"/>
          </w:pPr>
          <w:r>
            <w:rPr>
              <w:rFonts w:ascii="Arial" w:hAnsi="Arial"/>
              <w:sz w:val="16"/>
            </w:rPr>
            <w:t xml:space="preserve">Page </w:t>
            <w:fldChar w:fldCharType="begin"/>
            <w:instrText xml:space="preserve">PAGE</w:instrTex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8424"/>
      <w:gridCol w:w="1152"/>
    </w:tblGrid>
    <w:tr>
      <w:tc>
        <w:tcPr>
          <w:tcW w:type="dxa" w:w="5112"/>
          <w:tcMar>
            <w:top w:w="0" w:type="dxa"/>
            <w:start w:w="0" w:type="dxa"/>
            <w:bottom w:w="0" w:type="dxa"/>
            <w:end w:w="0" w:type="dxa"/>
          </w:tcMar>
          <w:vAlign w:val="center"/>
        </w:tcPr>
        <w:p>
          <w:pPr>
            <w:jc w:val="center"/>
          </w:pPr>
          <w:r>
            <w:rPr>
              <w:rFonts w:ascii="Arial" w:hAnsi="Arial"/>
              <w:b/>
              <w:color w:val="1F2A78"/>
              <w:sz w:val="30"/>
            </w:rPr>
            <w:t>OUR LADY &amp; ST OSWALD'S</w:t>
            <w:br/>
            <w:t>CATHOLIC PRIMARY SCHOOL</w:t>
          </w:r>
        </w:p>
        <w:p>
          <w:pPr>
            <w:spacing w:before="0" w:after="0"/>
            <w:jc w:val="center"/>
          </w:pPr>
          <w:r>
            <w:rPr>
              <w:rFonts w:ascii="Arial" w:hAnsi="Arial"/>
              <w:i/>
              <w:color w:val="666666"/>
              <w:sz w:val="17"/>
            </w:rPr>
            <w:t>“I came so that they might have life and have it more abundantly.”</w:t>
          </w:r>
        </w:p>
      </w:tc>
      <w:tc>
        <w:tcPr>
          <w:tcW w:type="dxa" w:w="5112"/>
          <w:tcMar>
            <w:top w:w="0" w:type="dxa"/>
            <w:start w:w="0" w:type="dxa"/>
            <w:bottom w:w="0" w:type="dxa"/>
            <w:end w:w="0" w:type="dxa"/>
          </w:tcMar>
          <w:vAlign w:val="center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566928" cy="566928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6928" cy="566928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20" w:after="20"/>
      <w:pBdr>
        <w:bottom w:val="single" w:sz="10" w:space="1" w:color="00A6E6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rial" w:hAnsi="Arial"/>
      <w:color w:val="111111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 w:ascii="Arial" w:hAnsi="Arial"/>
      <w:b/>
      <w:bCs/>
      <w:color w:val="1F2A7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0A6E6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0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1F2A78"/>
      <w:sz w:val="2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16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1F2A78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Text">
    <w:name w:val="Small Text"/>
    <w:pPr>
      <w:spacing w:after="60"/>
    </w:pPr>
    <w:rPr>
      <w:rFonts w:ascii="Arial" w:hAnsi="Arial"/>
      <w:color w:val="666666"/>
      <w:sz w:val="17"/>
    </w:rPr>
  </w:style>
  <w:style w:type="paragraph" w:customStyle="1" w:styleId="BulletCompact">
    <w:name w:val="Bullet Compact"/>
    <w:basedOn w:val="ListBullet"/>
    <w:pPr>
      <w:spacing w:after="40"/>
      <w:ind w:left="317" w:hanging="173"/>
    </w:pPr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